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8789"/>
      </w:tblGrid>
      <w:tr>
        <w:trPr>
          <w:trHeight w:val="773" w:hRule="auto"/>
          <w:jc w:val="center"/>
        </w:trPr>
        <w:tc>
          <w:tcPr>
            <w:tcW w:w="878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Sa</w:t>
            </w:r>
            <w:r>
              <w:rPr>
                <w:rFonts w:ascii="Times New Roman" w:hAnsi="Times New Roman" w:cs="Times New Roman" w:eastAsia="Times New Roman"/>
                <w:b/>
                <w:color w:val="auto"/>
                <w:spacing w:val="0"/>
                <w:position w:val="0"/>
                <w:sz w:val="24"/>
                <w:u w:val="single"/>
                <w:shd w:fill="auto" w:val="clear"/>
              </w:rPr>
              <w:t xml:space="preserve">ğlık Bakanlığından:</w:t>
            </w: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ÖZEL HASTANELER YÖNETMEL</w:t>
            </w:r>
            <w:r>
              <w:rPr>
                <w:rFonts w:ascii="Times New Roman" w:hAnsi="Times New Roman" w:cs="Times New Roman" w:eastAsia="Times New Roman"/>
                <w:b/>
                <w:color w:val="auto"/>
                <w:spacing w:val="0"/>
                <w:position w:val="0"/>
                <w:sz w:val="24"/>
                <w:shd w:fill="auto" w:val="clear"/>
              </w:rPr>
              <w:t xml:space="preserve">İĞİNDE DEĞİŞİKLİK</w:t>
            </w:r>
          </w:p>
          <w:p>
            <w:pPr>
              <w:tabs>
                <w:tab w:val="left" w:pos="566" w:leader="none"/>
              </w:tabs>
              <w:spacing w:before="0" w:after="0" w:line="240"/>
              <w:ind w:right="0" w:left="0" w:firstLine="566"/>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YAPILMASINA DA</w:t>
            </w:r>
            <w:r>
              <w:rPr>
                <w:rFonts w:ascii="Times New Roman" w:hAnsi="Times New Roman" w:cs="Times New Roman" w:eastAsia="Times New Roman"/>
                <w:b/>
                <w:color w:val="auto"/>
                <w:spacing w:val="0"/>
                <w:position w:val="0"/>
                <w:sz w:val="24"/>
                <w:shd w:fill="auto" w:val="clear"/>
              </w:rPr>
              <w:t xml:space="preserve">İR YÖNETMELİK (11 Temmuz 2013  RG  28704)</w:t>
            </w:r>
          </w:p>
        </w:tc>
      </w:tr>
    </w:tbl>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19 – </w:t>
      </w:r>
      <w:r>
        <w:rPr>
          <w:rFonts w:ascii="Times New Roman" w:hAnsi="Times New Roman" w:cs="Times New Roman" w:eastAsia="Times New Roman"/>
          <w:color w:val="auto"/>
          <w:spacing w:val="0"/>
          <w:position w:val="0"/>
          <w:sz w:val="24"/>
          <w:shd w:fill="auto" w:val="clear"/>
        </w:rPr>
        <w:t xml:space="preserve">Ayn</w:t>
      </w:r>
      <w:r>
        <w:rPr>
          <w:rFonts w:ascii="Times New Roman" w:hAnsi="Times New Roman" w:cs="Times New Roman" w:eastAsia="Times New Roman"/>
          <w:color w:val="auto"/>
          <w:spacing w:val="0"/>
          <w:position w:val="0"/>
          <w:sz w:val="24"/>
          <w:shd w:fill="auto" w:val="clear"/>
        </w:rPr>
        <w:t xml:space="preserve">ı Yönetmeliğin ek 5 inci maddesinin birinci fıkrasının (e) bendinin (2) numaralı alt bendi aşağıdaki şekilde değiştirilmiş ve fıkraya aşağıdaki bent eklenmiştir.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Ücretli veya ücretsiz izinli say</w:t>
      </w:r>
      <w:r>
        <w:rPr>
          <w:rFonts w:ascii="Times New Roman" w:hAnsi="Times New Roman" w:cs="Times New Roman" w:eastAsia="Times New Roman"/>
          <w:color w:val="auto"/>
          <w:spacing w:val="0"/>
          <w:position w:val="0"/>
          <w:sz w:val="24"/>
          <w:shd w:fill="auto" w:val="clear"/>
        </w:rPr>
        <w:t xml:space="preserve">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 hükümlerinden istisna tutularak meslek icra edebilir ve uzmanlık dalları faaliyet izin belgesine eklenerek çalışabilir.”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Uzman tabip kadro say</w:t>
      </w:r>
      <w:r>
        <w:rPr>
          <w:rFonts w:ascii="Times New Roman" w:hAnsi="Times New Roman" w:cs="Times New Roman" w:eastAsia="Times New Roman"/>
          <w:color w:val="auto"/>
          <w:spacing w:val="0"/>
          <w:position w:val="0"/>
          <w:sz w:val="24"/>
          <w:shd w:fill="auto" w:val="clear"/>
        </w:rPr>
        <w:t xml:space="preserve">ısı on beş ve üzerinde olan özel hastaneler, sağlık turizmi kapsamında yabancı uyruklu hastalara yönelik hizmet sunmak amacıyla, aynı il sınırları içerisinde olmak ve birden fazla olmamak kaydıyla, yalnızca kadrosunda bulunan uzman tabiplerin görev yapabileceği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21 – </w:t>
      </w:r>
      <w:r>
        <w:rPr>
          <w:rFonts w:ascii="Times New Roman" w:hAnsi="Times New Roman" w:cs="Times New Roman" w:eastAsia="Times New Roman"/>
          <w:color w:val="auto"/>
          <w:spacing w:val="0"/>
          <w:position w:val="0"/>
          <w:sz w:val="24"/>
          <w:shd w:fill="auto" w:val="clear"/>
        </w:rPr>
        <w:t xml:space="preserve">Ayn</w:t>
      </w:r>
      <w:r>
        <w:rPr>
          <w:rFonts w:ascii="Times New Roman" w:hAnsi="Times New Roman" w:cs="Times New Roman" w:eastAsia="Times New Roman"/>
          <w:color w:val="auto"/>
          <w:spacing w:val="0"/>
          <w:position w:val="0"/>
          <w:sz w:val="24"/>
          <w:shd w:fill="auto" w:val="clear"/>
        </w:rPr>
        <w:t xml:space="preserve">ı Yönetmeliğin ek 10 uncu maddesi başlığıyla birlikte aşağıdaki şekilde değiştirilmiştir.</w:t>
      </w: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“Konaklama tesislerinde sunulacak sa</w:t>
      </w:r>
      <w:r>
        <w:rPr>
          <w:rFonts w:ascii="Times New Roman" w:hAnsi="Times New Roman" w:cs="Times New Roman" w:eastAsia="Times New Roman"/>
          <w:b/>
          <w:color w:val="auto"/>
          <w:spacing w:val="0"/>
          <w:position w:val="0"/>
          <w:sz w:val="24"/>
          <w:shd w:fill="auto" w:val="clear"/>
        </w:rPr>
        <w:t xml:space="preserve">ğlık hizmetleri</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 MADDE 10 –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0"/>
          <w:position w:val="0"/>
          <w:sz w:val="24"/>
          <w:shd w:fill="auto" w:val="clear"/>
        </w:rPr>
        <w:t xml:space="preserv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Bulundu</w:t>
      </w:r>
      <w:r>
        <w:rPr>
          <w:rFonts w:ascii="Times New Roman" w:hAnsi="Times New Roman" w:cs="Times New Roman" w:eastAsia="Times New Roman"/>
          <w:color w:val="auto"/>
          <w:spacing w:val="0"/>
          <w:position w:val="0"/>
          <w:sz w:val="24"/>
          <w:shd w:fill="auto" w:val="clear"/>
        </w:rPr>
        <w:t xml:space="preserve">ğu ilde özel hastaneye bağlı kurulacak ünite, bu kuruluşun kadro ve kapasitesi kullanılarak planlamadan istisna olarak açılabilir.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Özel hastaneye ba</w:t>
      </w:r>
      <w:r>
        <w:rPr>
          <w:rFonts w:ascii="Times New Roman" w:hAnsi="Times New Roman" w:cs="Times New Roman" w:eastAsia="Times New Roman"/>
          <w:color w:val="auto"/>
          <w:spacing w:val="0"/>
          <w:position w:val="0"/>
          <w:sz w:val="24"/>
          <w:shd w:fill="auto" w:val="clear"/>
        </w:rPr>
        <w:t xml:space="preserve">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15/2/2008 tarihli ve 26788 sayılı Resmî Gazete’de yayımlanan Ayakta Teşhis ve Tedavi Yapılan Özel Sağlık Kuruluşları Hakkında Yönetmelikte muayenehaneler için belirlenen asgari özellikleri ve muayenehaneler için öngörülen muayene odası şartları sağlanır.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Konaklama tesisleri bünyesindeki sa</w:t>
      </w:r>
      <w:r>
        <w:rPr>
          <w:rFonts w:ascii="Times New Roman" w:hAnsi="Times New Roman" w:cs="Times New Roman" w:eastAsia="Times New Roman"/>
          <w:color w:val="auto"/>
          <w:spacing w:val="0"/>
          <w:position w:val="0"/>
          <w:sz w:val="24"/>
          <w:shd w:fill="auto" w:val="clear"/>
        </w:rPr>
        <w:t xml:space="preserve">ğlık ünitelerinde tam zamanlı çalışan asgari bir sağlık personeli bulunur.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 Özel hastane birden fazla konaklama tesisinde sa</w:t>
      </w:r>
      <w:r>
        <w:rPr>
          <w:rFonts w:ascii="Times New Roman" w:hAnsi="Times New Roman" w:cs="Times New Roman" w:eastAsia="Times New Roman"/>
          <w:color w:val="auto"/>
          <w:spacing w:val="0"/>
          <w:position w:val="0"/>
          <w:sz w:val="24"/>
          <w:shd w:fill="auto" w:val="clear"/>
        </w:rPr>
        <w:t xml:space="preserve">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Bir özel hastaneye ba</w:t>
      </w:r>
      <w:r>
        <w:rPr>
          <w:rFonts w:ascii="Times New Roman" w:hAnsi="Times New Roman" w:cs="Times New Roman" w:eastAsia="Times New Roman"/>
          <w:color w:val="auto"/>
          <w:spacing w:val="0"/>
          <w:position w:val="0"/>
          <w:sz w:val="24"/>
          <w:shd w:fill="auto" w:val="clear"/>
        </w:rPr>
        <w:t xml:space="preserve">ğlı olarak işletilen sağlık ünitelerinin tüm faaliyetlerinden bağlı oldukları özel hastane sorumludur.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Kültür ve Turizm Bakanl</w:t>
      </w:r>
      <w:r>
        <w:rPr>
          <w:rFonts w:ascii="Times New Roman" w:hAnsi="Times New Roman" w:cs="Times New Roman" w:eastAsia="Times New Roman"/>
          <w:color w:val="auto"/>
          <w:spacing w:val="0"/>
          <w:position w:val="0"/>
          <w:sz w:val="24"/>
          <w:shd w:fill="auto" w:val="clear"/>
        </w:rPr>
        <w:t xml:space="preserve">ığından belgeli konaklama tesisinin bulunduğu ildeki özel hastaneler kendi kadro ve kapasitesini kullanarak sadece akut tedavisi tamamlanmış konaklama tesisinde konaklayan kişilere yönelik olmak kaydıyla fizik tedavi ve rehabilitasyon veya obeziteyle mücadele, onkoloji ve diyabet hastalarına yönelik koruyucu ve destekleyici nitelikte birim açabilir. Bu birimleri açma başvuruları ilde bağlı olacağı özel hastanenin mesul müdürünce müdürlüğe yapılır ve faaliyetlerinden bağlı oldukları özel hastane sorumludur.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Konaklama tesisleri bünyesinde kurulacak özel hastaneye ba</w:t>
      </w:r>
      <w:r>
        <w:rPr>
          <w:rFonts w:ascii="Times New Roman" w:hAnsi="Times New Roman" w:cs="Times New Roman" w:eastAsia="Times New Roman"/>
          <w:color w:val="auto"/>
          <w:spacing w:val="0"/>
          <w:position w:val="0"/>
          <w:sz w:val="24"/>
          <w:shd w:fill="auto" w:val="clear"/>
        </w:rPr>
        <w:t xml:space="preserve">ğlı birimde aşağıdaki hususlar dikkate alınır: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 birimler, ilgili mevzuatta yer alan müessese veya poliklinik fiziki ve t</w:t>
      </w:r>
      <w:r>
        <w:rPr>
          <w:rFonts w:ascii="Times New Roman" w:hAnsi="Times New Roman" w:cs="Times New Roman" w:eastAsia="Times New Roman"/>
          <w:color w:val="auto"/>
          <w:spacing w:val="0"/>
          <w:position w:val="0"/>
          <w:sz w:val="24"/>
          <w:shd w:fill="auto" w:val="clear"/>
        </w:rPr>
        <w:t xml:space="preserve">ıbbi donanım şartlarını sağlamak, ilgili hekim gözetimi ve kontrolünde bulunmak zorundadır.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Kurulmas</w:t>
      </w:r>
      <w:r>
        <w:rPr>
          <w:rFonts w:ascii="Times New Roman" w:hAnsi="Times New Roman" w:cs="Times New Roman" w:eastAsia="Times New Roman"/>
          <w:color w:val="auto"/>
          <w:spacing w:val="0"/>
          <w:position w:val="0"/>
          <w:sz w:val="24"/>
          <w:shd w:fill="auto" w:val="clear"/>
        </w:rPr>
        <w:t xml:space="preserve">ı talep edilen birim ile ilgili olarak mesul müdür, işletmecinin konaklama tesisi yatırımı için Kültür ve Turizm Bakanlığına müracaat ettiğine dair bir belgeyle birlikte Bakanlıktan izin talep eder.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Bakanl</w:t>
      </w:r>
      <w:r>
        <w:rPr>
          <w:rFonts w:ascii="Times New Roman" w:hAnsi="Times New Roman" w:cs="Times New Roman" w:eastAsia="Times New Roman"/>
          <w:color w:val="auto"/>
          <w:spacing w:val="0"/>
          <w:position w:val="0"/>
          <w:sz w:val="24"/>
          <w:shd w:fill="auto" w:val="clear"/>
        </w:rPr>
        <w:t xml:space="preserve">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 Konaklama tesislerindeki birimlerin çal</w:t>
      </w:r>
      <w:r>
        <w:rPr>
          <w:rFonts w:ascii="Times New Roman" w:hAnsi="Times New Roman" w:cs="Times New Roman" w:eastAsia="Times New Roman"/>
          <w:color w:val="auto"/>
          <w:spacing w:val="0"/>
          <w:position w:val="0"/>
          <w:sz w:val="24"/>
          <w:shd w:fill="auto" w:val="clear"/>
        </w:rPr>
        <w:t xml:space="preserve">ışma saatleri, tesisin çalışma programı ve saatleriyle uyumlu olarak düzenlenir. Acil durumlar için hasta nakline uygun düzenlemeler yapılır.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Bu birimler konaklama tesisi d</w:t>
      </w:r>
      <w:r>
        <w:rPr>
          <w:rFonts w:ascii="Times New Roman" w:hAnsi="Times New Roman" w:cs="Times New Roman" w:eastAsia="Times New Roman"/>
          <w:color w:val="auto"/>
          <w:spacing w:val="0"/>
          <w:position w:val="0"/>
          <w:sz w:val="24"/>
          <w:shd w:fill="auto" w:val="clear"/>
        </w:rPr>
        <w:t xml:space="preserve">ışına veya başka bir konaklama tesisine taşınamaz.</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Konaklama tesislerinde sunulacak sa</w:t>
      </w:r>
      <w:r>
        <w:rPr>
          <w:rFonts w:ascii="Times New Roman" w:hAnsi="Times New Roman" w:cs="Times New Roman" w:eastAsia="Times New Roman"/>
          <w:color w:val="auto"/>
          <w:spacing w:val="0"/>
          <w:position w:val="0"/>
          <w:sz w:val="24"/>
          <w:shd w:fill="auto" w:val="clear"/>
        </w:rPr>
        <w:t xml:space="preserve">ğlık hizmetlerine yönelik diğer hususlarda ilgili mevzuat hükümleri uygulanır.”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22 – </w:t>
      </w:r>
      <w:r>
        <w:rPr>
          <w:rFonts w:ascii="Times New Roman" w:hAnsi="Times New Roman" w:cs="Times New Roman" w:eastAsia="Times New Roman"/>
          <w:color w:val="auto"/>
          <w:spacing w:val="0"/>
          <w:position w:val="0"/>
          <w:sz w:val="24"/>
          <w:shd w:fill="auto" w:val="clear"/>
        </w:rPr>
        <w:t xml:space="preserve">Ayn</w:t>
      </w:r>
      <w:r>
        <w:rPr>
          <w:rFonts w:ascii="Times New Roman" w:hAnsi="Times New Roman" w:cs="Times New Roman" w:eastAsia="Times New Roman"/>
          <w:color w:val="auto"/>
          <w:spacing w:val="0"/>
          <w:position w:val="0"/>
          <w:sz w:val="24"/>
          <w:shd w:fill="auto" w:val="clear"/>
        </w:rPr>
        <w:t xml:space="preserve">ı Yönetmeliğin geçici 1 inci maddesi aşağıdaki şekilde değiştirilmiştir.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“Geçici Madde 1 – </w:t>
      </w:r>
      <w:r>
        <w:rPr>
          <w:rFonts w:ascii="Times New Roman" w:hAnsi="Times New Roman" w:cs="Times New Roman" w:eastAsia="Times New Roman"/>
          <w:color w:val="auto"/>
          <w:spacing w:val="0"/>
          <w:position w:val="0"/>
          <w:sz w:val="24"/>
          <w:shd w:fill="auto" w:val="clear"/>
        </w:rPr>
        <w:t xml:space="preserve">11/6/2009 tarihi itibariyle Bakanl</w:t>
      </w:r>
      <w:r>
        <w:rPr>
          <w:rFonts w:ascii="Times New Roman" w:hAnsi="Times New Roman" w:cs="Times New Roman" w:eastAsia="Times New Roman"/>
          <w:color w:val="auto"/>
          <w:spacing w:val="0"/>
          <w:position w:val="0"/>
          <w:sz w:val="24"/>
          <w:shd w:fill="auto" w:val="clear"/>
        </w:rPr>
        <w:t xml:space="preserve">ığa başvuru yapmış olmak kaydıyla, 15/2/2008 tarihi öncesinde parsel imar planlarında sağlık alanına çevrilmiş veya çevrilme işlemleri başlatılmış ve ilgili belediyeden hastane yapı ruhsatı alarak hastane inşaatına başlamış olanların başvuruları, Planlama İstihdam Komisyonuna sunulur. Komisyonca, hizmet verilecek uzmanlık dalları ve kapasitelerinin belirlenmesinden sonra bu hususlar ile geçici 7 nci maddedeki muafiyetler de dikkate alınarak yapılacak proje incelemesine göre bu Yönetmeliğe uygun bulunanların ön izin işlemleri başlatılır………….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 maddenin yürürlü</w:t>
      </w:r>
      <w:r>
        <w:rPr>
          <w:rFonts w:ascii="Times New Roman" w:hAnsi="Times New Roman" w:cs="Times New Roman" w:eastAsia="Times New Roman"/>
          <w:b/>
          <w:color w:val="auto"/>
          <w:spacing w:val="0"/>
          <w:position w:val="0"/>
          <w:sz w:val="24"/>
          <w:shd w:fill="auto" w:val="clear"/>
        </w:rPr>
        <w:t xml:space="preserve">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w:t>
      </w:r>
    </w:p>
    <w:p>
      <w:pPr>
        <w:tabs>
          <w:tab w:val="left" w:pos="566" w:leader="none"/>
        </w:tabs>
        <w:spacing w:before="0" w:after="0" w:line="240"/>
        <w:ind w:right="0" w:left="0" w:firstLine="566"/>
        <w:jc w:val="both"/>
        <w:rPr>
          <w:rFonts w:ascii="Times New Roman" w:hAnsi="Times New Roman" w:cs="Times New Roman" w:eastAsia="Times New Roman"/>
          <w:b/>
          <w:color w:val="auto"/>
          <w:spacing w:val="0"/>
          <w:position w:val="0"/>
          <w:sz w:val="24"/>
          <w:shd w:fill="auto" w:val="clear"/>
        </w:rPr>
      </w:pP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MADDE 19 – </w:t>
      </w:r>
      <w:r>
        <w:rPr>
          <w:rFonts w:ascii="Times New Roman" w:hAnsi="Times New Roman" w:cs="Times New Roman" w:eastAsia="Times New Roman"/>
          <w:color w:val="auto"/>
          <w:spacing w:val="0"/>
          <w:position w:val="0"/>
          <w:sz w:val="24"/>
          <w:shd w:fill="auto" w:val="clear"/>
        </w:rPr>
        <w:t xml:space="preserve">Ayn</w:t>
      </w:r>
      <w:r>
        <w:rPr>
          <w:rFonts w:ascii="Times New Roman" w:hAnsi="Times New Roman" w:cs="Times New Roman" w:eastAsia="Times New Roman"/>
          <w:color w:val="auto"/>
          <w:spacing w:val="0"/>
          <w:position w:val="0"/>
          <w:sz w:val="24"/>
          <w:shd w:fill="auto" w:val="clear"/>
        </w:rPr>
        <w:t xml:space="preserve">ı Yönetmeliğin ek 5 inci maddesinin birinci fıkrasının (e) bendinin (2) numaralı alt bendi aşağıdaki şekilde değiştirilmiş ve fıkraya aşağıdaki bent eklenmiştir.</w:t>
      </w:r>
    </w:p>
    <w:p>
      <w:pPr>
        <w:tabs>
          <w:tab w:val="left" w:pos="566" w:leader="none"/>
        </w:tabs>
        <w:spacing w:before="0" w:after="0" w:line="240"/>
        <w:ind w:right="0" w:left="0" w:firstLine="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Ücretli veya ücretsiz izinli say</w:t>
      </w:r>
      <w:r>
        <w:rPr>
          <w:rFonts w:ascii="Times New Roman" w:hAnsi="Times New Roman" w:cs="Times New Roman" w:eastAsia="Times New Roman"/>
          <w:color w:val="auto"/>
          <w:spacing w:val="0"/>
          <w:position w:val="0"/>
          <w:sz w:val="24"/>
          <w:shd w:fill="auto" w:val="clear"/>
        </w:rPr>
        <w:t xml:space="preserve">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 hükümlerinden istisna tutularak meslek icra edebilir ve uzmanlık dalları faaliyet izin belgesine eklenerek çalışabilir.”</w:t>
      </w:r>
    </w:p>
    <w:p>
      <w:pPr>
        <w:tabs>
          <w:tab w:val="left" w:pos="566" w:leader="none"/>
        </w:tabs>
        <w:spacing w:before="0" w:after="0" w:line="240"/>
        <w:ind w:right="0" w:left="0" w:firstLine="566"/>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Uzman tabip kadro say</w:t>
      </w:r>
      <w:r>
        <w:rPr>
          <w:rFonts w:ascii="Times New Roman" w:hAnsi="Times New Roman" w:cs="Times New Roman" w:eastAsia="Times New Roman"/>
          <w:color w:val="auto"/>
          <w:spacing w:val="0"/>
          <w:position w:val="0"/>
          <w:sz w:val="24"/>
          <w:shd w:fill="auto" w:val="clear"/>
        </w:rPr>
        <w:t xml:space="preserve">ısı on beş ve üzerinde olan özel hastaneler, sağlık turizmi kapsamında yabancı uyruklu hastalara yönelik hizmet sunmak amacıyla, aynı il sınırları içerisinde olmak ve birden fazla olmamak kaydıyla, yalnızca kadrosunda bulunan uzman tabiplerin görev yapabileceği muayene ve kontrol birimi kurabilir. Kadrolu uzman tabip sayısı 15 ila 50 arasında olan hastanelerin açacakları birimlerde en fazla iki; 51 ila 100 arasında olanlarda en fazla üç ve kadrolu uzman tabip sayısı 100 üzerinde olan hastanelerin açacakları birimlerde ise en fazla dört uzman tabip görev yapar. Bu birimde ilgili mevzuatında düzenlenen muayenehane fiziki şartlarının bulunması ve yalnızca muayenehane kapsamında yapılabilecek teşhis ve kontrol işlemlerinin yapılması zorunludur. Muayene ve kontrol birimi açma başvuruları hastanenin bulunduğu il müdürlüğüne yapılır. Müdürlükçe, açılması uygun görülen birim ve adresi hastanenin faaliyet izin belgesine ve Sağlık Kuruluşları Yönetim Sistemine (SKYS) işlenir.”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